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3A" w:rsidRDefault="008E0C3A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AA5008" w:rsidRDefault="008E0C3A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 </w:t>
      </w:r>
      <w:r w:rsidR="00881811"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76550F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="00881811"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CF43C3" w:rsidP="008F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E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="00881811"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CF43C3" w:rsidP="008F7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Órgão C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omprador</w:t>
            </w:r>
            <w:r w:rsidR="00881811"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CF43C3" w:rsidP="00CF43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do L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ote/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CF43C3" w:rsidP="00CF4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P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roduto/</w:t>
            </w:r>
            <w:r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uantidade</w:t>
            </w:r>
            <w:r w:rsidR="00881811"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CF43C3" w:rsidP="00CF43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nitário/</w:t>
            </w:r>
            <w:r>
              <w:rPr>
                <w:rFonts w:ascii="Arial" w:hAnsi="Arial" w:cs="Arial"/>
                <w:b/>
                <w:sz w:val="20"/>
                <w:szCs w:val="20"/>
              </w:rPr>
              <w:t>Valor G</w:t>
            </w:r>
            <w:r w:rsidR="00881811" w:rsidRPr="008F77F6">
              <w:rPr>
                <w:rFonts w:ascii="Arial" w:hAnsi="Arial" w:cs="Arial"/>
                <w:b/>
                <w:sz w:val="20"/>
                <w:szCs w:val="20"/>
              </w:rPr>
              <w:t>lobal:</w:t>
            </w:r>
            <w:bookmarkStart w:id="0" w:name="_GoBack"/>
            <w:bookmarkEnd w:id="0"/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</w:t>
      </w:r>
      <w:proofErr w:type="gramEnd"/>
      <w:r w:rsidR="00881811"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>Caso</w:t>
      </w:r>
      <w:proofErr w:type="gramEnd"/>
      <w:r w:rsidR="00881811" w:rsidRPr="008F77F6">
        <w:rPr>
          <w:rFonts w:ascii="Arial" w:hAnsi="Arial" w:cs="Arial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E2" w:rsidRDefault="009B2AE2" w:rsidP="005117C6">
      <w:r>
        <w:separator/>
      </w:r>
    </w:p>
  </w:endnote>
  <w:endnote w:type="continuationSeparator" w:id="0">
    <w:p w:rsidR="009B2AE2" w:rsidRDefault="009B2AE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6550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550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4D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6550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24D8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E2" w:rsidRDefault="009B2AE2" w:rsidP="005117C6">
      <w:r>
        <w:separator/>
      </w:r>
    </w:p>
  </w:footnote>
  <w:footnote w:type="continuationSeparator" w:id="0">
    <w:p w:rsidR="009B2AE2" w:rsidRDefault="009B2AE2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04A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3CD0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0721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550F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E13A4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0C3A"/>
    <w:rsid w:val="008E27C1"/>
    <w:rsid w:val="008E6687"/>
    <w:rsid w:val="008F6DCE"/>
    <w:rsid w:val="008F77F6"/>
    <w:rsid w:val="00905020"/>
    <w:rsid w:val="00924D81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2AE2"/>
    <w:rsid w:val="009B4DE1"/>
    <w:rsid w:val="009C3C28"/>
    <w:rsid w:val="009D3E6F"/>
    <w:rsid w:val="009D4A46"/>
    <w:rsid w:val="009E09AA"/>
    <w:rsid w:val="009E722E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24D0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CF43C3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5869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0484-C559-47CD-ABC8-DAD4C05B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2022-02-16T15:42:00Z</cp:lastPrinted>
  <dcterms:created xsi:type="dcterms:W3CDTF">2020-11-25T17:30:00Z</dcterms:created>
  <dcterms:modified xsi:type="dcterms:W3CDTF">2022-02-16T16:50:00Z</dcterms:modified>
</cp:coreProperties>
</file>