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0E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40889">
        <w:rPr>
          <w:rFonts w:ascii="Arial" w:eastAsia="Times New Roman" w:hAnsi="Arial" w:cs="Arial"/>
          <w:b/>
          <w:sz w:val="20"/>
          <w:szCs w:val="20"/>
        </w:rPr>
        <w:t>ANEXO I</w:t>
      </w: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0889">
        <w:rPr>
          <w:rFonts w:ascii="Arial" w:eastAsia="Calibri" w:hAnsi="Arial" w:cs="Arial"/>
          <w:b/>
          <w:sz w:val="20"/>
          <w:szCs w:val="20"/>
        </w:rPr>
        <w:t>TERMO DE REFERÊNCIA</w:t>
      </w: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40889">
        <w:rPr>
          <w:rFonts w:ascii="Arial" w:eastAsia="Calibri" w:hAnsi="Arial" w:cs="Arial"/>
          <w:b/>
          <w:sz w:val="20"/>
          <w:szCs w:val="20"/>
        </w:rPr>
        <w:t>1. OBJETO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>Aquisição de 600 (seiscentas) toneladas de Soda Cáustica Líquida (Hidróxido de Sódio) em solução de 50%, para tratamento de água, por um período de 12 (doze) meses, conforme especificações abaixo: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Alcalinidade: (%)</w:t>
            </w:r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50%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NaOH</w:t>
            </w:r>
            <w:proofErr w:type="spellEnd"/>
          </w:p>
        </w:tc>
      </w:tr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Densidade: g/cm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1,5 g/cm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Carbonatos:  Na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D40889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&lt;0,2% m/m Na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D40889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Cloretos: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&lt;1,1%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</w:tr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Cloratos: NaClO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&lt;0,20%  m/m NaClO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Ferro</w:t>
            </w:r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&lt;5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ppm</w:t>
            </w:r>
            <w:proofErr w:type="spellEnd"/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 Fe</w:t>
            </w:r>
          </w:p>
        </w:tc>
      </w:tr>
      <w:tr w:rsidR="004E2E0E" w:rsidRPr="00D40889" w:rsidTr="000C682C"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pH (Solução a 10%)</w:t>
            </w:r>
          </w:p>
        </w:tc>
        <w:tc>
          <w:tcPr>
            <w:tcW w:w="4322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4E2E0E" w:rsidRPr="00D40889" w:rsidTr="000C68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320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Cloreto de Sódio</w:t>
            </w:r>
          </w:p>
        </w:tc>
        <w:tc>
          <w:tcPr>
            <w:tcW w:w="4324" w:type="dxa"/>
          </w:tcPr>
          <w:p w:rsidR="004E2E0E" w:rsidRPr="00D40889" w:rsidRDefault="004E2E0E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&lt;1%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</w:tr>
    </w:tbl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3239" w:rsidRPr="00EB3239" w:rsidRDefault="00EB3239" w:rsidP="00EB3239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EB3239">
        <w:rPr>
          <w:rFonts w:ascii="Arial" w:eastAsia="Calibri" w:hAnsi="Arial" w:cs="Arial"/>
          <w:b/>
          <w:sz w:val="20"/>
          <w:szCs w:val="20"/>
          <w:u w:val="single"/>
        </w:rPr>
        <w:t>QUANTIDADES: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993"/>
        <w:gridCol w:w="4111"/>
        <w:gridCol w:w="1417"/>
        <w:gridCol w:w="1985"/>
        <w:gridCol w:w="1984"/>
      </w:tblGrid>
      <w:tr w:rsidR="00EB3239" w:rsidRPr="00EB3239" w:rsidTr="000C682C">
        <w:trPr>
          <w:trHeight w:val="497"/>
        </w:trPr>
        <w:tc>
          <w:tcPr>
            <w:tcW w:w="993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EB3239">
              <w:rPr>
                <w:rFonts w:ascii="Arial" w:eastAsia="Calibri" w:hAnsi="Arial" w:cs="Arial"/>
                <w:b/>
                <w:sz w:val="19"/>
                <w:szCs w:val="19"/>
              </w:rPr>
              <w:t>LOTE</w:t>
            </w:r>
          </w:p>
        </w:tc>
        <w:tc>
          <w:tcPr>
            <w:tcW w:w="4111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EB3239">
              <w:rPr>
                <w:rFonts w:ascii="Arial" w:eastAsia="Calibri" w:hAnsi="Arial" w:cs="Arial"/>
                <w:b/>
                <w:sz w:val="19"/>
                <w:szCs w:val="19"/>
              </w:rPr>
              <w:t>DESCRIÇÃO E QUANTIDADE</w:t>
            </w:r>
          </w:p>
        </w:tc>
        <w:tc>
          <w:tcPr>
            <w:tcW w:w="1417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EB3239">
              <w:rPr>
                <w:rFonts w:ascii="Arial" w:eastAsia="Calibri" w:hAnsi="Arial" w:cs="Arial"/>
                <w:b/>
                <w:sz w:val="19"/>
                <w:szCs w:val="19"/>
              </w:rPr>
              <w:t>COTA</w:t>
            </w:r>
          </w:p>
        </w:tc>
        <w:tc>
          <w:tcPr>
            <w:tcW w:w="1985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EB3239">
              <w:rPr>
                <w:rFonts w:ascii="Arial" w:eastAsia="Calibri" w:hAnsi="Arial" w:cs="Arial"/>
                <w:b/>
                <w:sz w:val="19"/>
                <w:szCs w:val="19"/>
              </w:rPr>
              <w:t>VALOR UNITÁRIO</w:t>
            </w:r>
          </w:p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EB3239">
              <w:rPr>
                <w:rFonts w:ascii="Arial" w:eastAsia="Calibri" w:hAnsi="Arial" w:cs="Arial"/>
                <w:b/>
                <w:sz w:val="19"/>
                <w:szCs w:val="19"/>
              </w:rPr>
              <w:t>ESTIMADO</w:t>
            </w:r>
            <w:r w:rsidR="00455BBB">
              <w:rPr>
                <w:rFonts w:ascii="Arial" w:eastAsia="Calibri" w:hAnsi="Arial" w:cs="Arial"/>
                <w:b/>
                <w:sz w:val="19"/>
                <w:szCs w:val="19"/>
              </w:rPr>
              <w:t xml:space="preserve"> POR TONELADA</w:t>
            </w:r>
          </w:p>
        </w:tc>
        <w:tc>
          <w:tcPr>
            <w:tcW w:w="1984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EB3239">
              <w:rPr>
                <w:rFonts w:ascii="Arial" w:eastAsia="Calibri" w:hAnsi="Arial" w:cs="Arial"/>
                <w:b/>
                <w:sz w:val="19"/>
                <w:szCs w:val="19"/>
              </w:rPr>
              <w:t>VALOR  TOTAL</w:t>
            </w:r>
          </w:p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EB3239">
              <w:rPr>
                <w:rFonts w:ascii="Arial" w:eastAsia="Calibri" w:hAnsi="Arial" w:cs="Arial"/>
                <w:b/>
                <w:sz w:val="19"/>
                <w:szCs w:val="19"/>
              </w:rPr>
              <w:t>ESTIMADO</w:t>
            </w:r>
          </w:p>
        </w:tc>
      </w:tr>
      <w:tr w:rsidR="00EB3239" w:rsidRPr="00EB3239" w:rsidTr="000C682C">
        <w:trPr>
          <w:trHeight w:val="683"/>
        </w:trPr>
        <w:tc>
          <w:tcPr>
            <w:tcW w:w="993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Lote I</w:t>
            </w:r>
          </w:p>
        </w:tc>
        <w:tc>
          <w:tcPr>
            <w:tcW w:w="4111" w:type="dxa"/>
            <w:vAlign w:val="center"/>
          </w:tcPr>
          <w:p w:rsidR="00EB3239" w:rsidRPr="00EB3239" w:rsidRDefault="00EB3239" w:rsidP="00EB323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color w:val="000000"/>
                <w:sz w:val="20"/>
                <w:szCs w:val="20"/>
              </w:rPr>
              <w:t>570 t (quinhentas e setenta toneladas) de soda cáustica líquida em solução de 50% (hidróxido de sódio).</w:t>
            </w:r>
          </w:p>
        </w:tc>
        <w:tc>
          <w:tcPr>
            <w:tcW w:w="1417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COTA</w:t>
            </w:r>
          </w:p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985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R$ 3.160,67</w:t>
            </w:r>
          </w:p>
        </w:tc>
        <w:tc>
          <w:tcPr>
            <w:tcW w:w="1984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R$ 1.801.581,90</w:t>
            </w:r>
          </w:p>
        </w:tc>
      </w:tr>
      <w:tr w:rsidR="00EB3239" w:rsidRPr="00EB3239" w:rsidTr="000C682C">
        <w:trPr>
          <w:trHeight w:val="750"/>
        </w:trPr>
        <w:tc>
          <w:tcPr>
            <w:tcW w:w="993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Lote II</w:t>
            </w:r>
          </w:p>
        </w:tc>
        <w:tc>
          <w:tcPr>
            <w:tcW w:w="4111" w:type="dxa"/>
            <w:vAlign w:val="center"/>
          </w:tcPr>
          <w:p w:rsidR="00EB3239" w:rsidRPr="00EB3239" w:rsidRDefault="00EB3239" w:rsidP="00EB323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color w:val="000000"/>
                <w:sz w:val="20"/>
                <w:szCs w:val="20"/>
              </w:rPr>
              <w:t>30 t (trinta toneladas) de soda cáustica líquida em solução de 50% (hidróxido de sódio).</w:t>
            </w:r>
          </w:p>
        </w:tc>
        <w:tc>
          <w:tcPr>
            <w:tcW w:w="1417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COTA</w:t>
            </w:r>
            <w:r w:rsidRPr="00EB323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EXCLUSIVA</w:t>
            </w:r>
          </w:p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EPP/ ME</w:t>
            </w:r>
          </w:p>
        </w:tc>
        <w:tc>
          <w:tcPr>
            <w:tcW w:w="1985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R$ 3.160,67</w:t>
            </w:r>
          </w:p>
        </w:tc>
        <w:tc>
          <w:tcPr>
            <w:tcW w:w="1984" w:type="dxa"/>
            <w:vAlign w:val="center"/>
          </w:tcPr>
          <w:p w:rsidR="00EB3239" w:rsidRPr="00EB3239" w:rsidRDefault="00EB3239" w:rsidP="00EB32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239">
              <w:rPr>
                <w:rFonts w:ascii="Arial" w:eastAsia="Calibri" w:hAnsi="Arial" w:cs="Arial"/>
                <w:b/>
                <w:sz w:val="20"/>
                <w:szCs w:val="20"/>
              </w:rPr>
              <w:t>R$ 94.820,10</w:t>
            </w:r>
          </w:p>
        </w:tc>
      </w:tr>
    </w:tbl>
    <w:p w:rsidR="00EB3239" w:rsidRDefault="00EB3239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40889">
        <w:rPr>
          <w:rFonts w:ascii="Arial" w:eastAsia="Calibri" w:hAnsi="Arial" w:cs="Arial"/>
          <w:b/>
          <w:sz w:val="20"/>
          <w:szCs w:val="20"/>
        </w:rPr>
        <w:t>2. ENTREGA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B092A" w:rsidRPr="003B092A" w:rsidRDefault="003B092A" w:rsidP="003B09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092A">
        <w:rPr>
          <w:rFonts w:ascii="Arial" w:eastAsia="Calibri" w:hAnsi="Arial" w:cs="Arial"/>
          <w:sz w:val="20"/>
          <w:szCs w:val="20"/>
        </w:rPr>
        <w:t xml:space="preserve">A entrega do produto será de forma parcelada conforme necessidade da SAECIL, no prazo de até 5 (cinco) dias após a solicitação. Os pedidos serão feitos pelos Srs. Edson L. </w:t>
      </w:r>
      <w:proofErr w:type="spellStart"/>
      <w:r w:rsidRPr="003B092A">
        <w:rPr>
          <w:rFonts w:ascii="Arial" w:eastAsia="Calibri" w:hAnsi="Arial" w:cs="Arial"/>
          <w:sz w:val="20"/>
          <w:szCs w:val="20"/>
        </w:rPr>
        <w:t>Pacagnella</w:t>
      </w:r>
      <w:proofErr w:type="spellEnd"/>
      <w:r w:rsidRPr="003B092A">
        <w:rPr>
          <w:rFonts w:ascii="Arial" w:eastAsia="Calibri" w:hAnsi="Arial" w:cs="Arial"/>
          <w:sz w:val="20"/>
          <w:szCs w:val="20"/>
        </w:rPr>
        <w:t xml:space="preserve"> ou Paulo César V. Fogo, através dos e-mails </w:t>
      </w:r>
      <w:r w:rsidRPr="003B092A">
        <w:rPr>
          <w:rFonts w:ascii="Arial" w:eastAsia="Calibri" w:hAnsi="Arial" w:cs="Arial"/>
          <w:b/>
          <w:sz w:val="20"/>
          <w:szCs w:val="20"/>
        </w:rPr>
        <w:t>eta@saecil.com.br</w:t>
      </w:r>
      <w:r w:rsidRPr="003B092A">
        <w:rPr>
          <w:rFonts w:ascii="Arial" w:eastAsia="Calibri" w:hAnsi="Arial" w:cs="Arial"/>
          <w:sz w:val="20"/>
          <w:szCs w:val="20"/>
        </w:rPr>
        <w:t xml:space="preserve"> ou </w:t>
      </w:r>
      <w:hyperlink r:id="rId6" w:history="1">
        <w:r w:rsidRPr="003B092A">
          <w:rPr>
            <w:rStyle w:val="Hyperlink"/>
            <w:rFonts w:ascii="Arial" w:eastAsia="Calibri" w:hAnsi="Arial" w:cs="Arial"/>
            <w:b/>
            <w:color w:val="000000" w:themeColor="text1"/>
            <w:sz w:val="20"/>
            <w:szCs w:val="20"/>
            <w:u w:val="none"/>
          </w:rPr>
          <w:t>paulofogo@saecil.com.br</w:t>
        </w:r>
      </w:hyperlink>
      <w:r w:rsidRPr="003B092A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>O produto deverá ser entregue na ETA – Estação de Tratamento de Água desta cidade, localizada à Via Anhanguera km 192, sentido capital/interior, em veículo equipado com bomba em voltagem 220v para descarregamento, correndo por conta do fornecedor todas as despesas e riscos até o momento da entrega e descarga.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3. OBSERVAÇÕES</w:t>
      </w: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2E0E" w:rsidRPr="00D40889" w:rsidRDefault="004E2E0E" w:rsidP="004E2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A Portaria de Consolidação MS nº 05/2017 Anexo XX (Origem 2914/11), estabelece na Seção IV, Art.13º, inciso III, alínea “b” que compete ao responsável pelo sistema ou solução alternativa coletiva de abastecimento de água para consumo humano, exigir, junto aos fornecedores, o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Laudo de Atendimento dos Requisitos de Saúde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estabelecidos em norma técnica da ABNT, para o controle de qualidade dos produtos químicos utilizados no tratamento de água, referindo-se à NBR 15.784:2009; e alínea “c”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L</w:t>
      </w:r>
      <w:r w:rsidRPr="00D4088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audo de Inocuidade</w:t>
      </w:r>
      <w:r w:rsidRPr="00D40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materiais utilizados na produção e distribuição que tenham  contato com a água.</w:t>
      </w: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3239" w:rsidRDefault="00EB3239" w:rsidP="004E2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3239" w:rsidRDefault="00EB3239" w:rsidP="004E2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3239" w:rsidRDefault="00EB3239" w:rsidP="004E2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E2E0E" w:rsidRPr="00D40889" w:rsidRDefault="004E2E0E" w:rsidP="004E2E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ABNT - NBR – NORMA BRASILEIRA Nº 15.784 – PRODUTOS QUÍMICOS UTILIZADOS NO TRATAMENTO DE ÁGUA PARA CONSUMO HUMANO</w:t>
      </w: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2E0E" w:rsidRPr="00D40889" w:rsidRDefault="004E2E0E" w:rsidP="004E2E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3.1. OBJETIVO: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4E2E0E" w:rsidRPr="00D40889" w:rsidRDefault="004E2E0E" w:rsidP="004E2E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t-BR"/>
        </w:rPr>
      </w:pPr>
    </w:p>
    <w:p w:rsidR="004E2E0E" w:rsidRPr="00D40889" w:rsidRDefault="004E2E0E" w:rsidP="004E2E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Com a publicação, pelo Ministério da Saúde, da Portaria 2914, em 12 de dezembro de 2011, a NBR 15.784 passa a ter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caráter compulsório. </w:t>
      </w: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4E2E0E" w:rsidRDefault="004E2E0E" w:rsidP="004E2E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PRODUTOS QUÍMICOS: </w:t>
      </w: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Relação por categoria dos Produtos Químicos aprovados, com seu nº </w:t>
      </w:r>
      <w:r w:rsidRPr="00D4088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PBRS - Produto de Baixo Risco à Saúde, por Fornecedor.</w:t>
      </w: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pt-BR"/>
        </w:rPr>
      </w:pPr>
      <w:r w:rsidRPr="00D40889">
        <w:rPr>
          <w:rFonts w:ascii="Arial" w:eastAsia="Times New Roman" w:hAnsi="Arial" w:cs="Arial"/>
          <w:bCs/>
          <w:sz w:val="20"/>
          <w:szCs w:val="20"/>
          <w:u w:val="single"/>
          <w:lang w:eastAsia="pt-BR"/>
        </w:rPr>
        <w:t>Categorias</w:t>
      </w:r>
    </w:p>
    <w:p w:rsidR="004E2E0E" w:rsidRPr="00D40889" w:rsidRDefault="00BA4882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history="1">
        <w:r w:rsidR="004E2E0E" w:rsidRPr="00D40889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 xml:space="preserve">Coagulantes &amp; </w:t>
        </w:r>
        <w:proofErr w:type="spellStart"/>
        <w:r w:rsidR="004E2E0E" w:rsidRPr="00D40889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Floculantes</w:t>
        </w:r>
        <w:proofErr w:type="spellEnd"/>
      </w:hyperlink>
    </w:p>
    <w:p w:rsidR="004E2E0E" w:rsidRPr="00D40889" w:rsidRDefault="00BA4882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history="1">
        <w:r w:rsidR="004E2E0E" w:rsidRPr="00D40889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Desinfetantes &amp; Oxidantes</w:t>
        </w:r>
      </w:hyperlink>
    </w:p>
    <w:p w:rsidR="004E2E0E" w:rsidRPr="00D40889" w:rsidRDefault="00BA4882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hyperlink r:id="rId9" w:history="1">
        <w:r w:rsidR="004E2E0E" w:rsidRPr="00D40889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 xml:space="preserve">Ajuste de pH, Sequestrantes &amp; </w:t>
        </w:r>
        <w:proofErr w:type="spellStart"/>
        <w:r w:rsidR="004E2E0E" w:rsidRPr="00D40889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Desincrustantes</w:t>
        </w:r>
        <w:proofErr w:type="spellEnd"/>
      </w:hyperlink>
    </w:p>
    <w:p w:rsidR="004E2E0E" w:rsidRPr="00D40889" w:rsidRDefault="00BA4882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hyperlink r:id="rId10" w:history="1">
        <w:r w:rsidR="004E2E0E" w:rsidRPr="00D40889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Outros Produtos</w:t>
        </w:r>
      </w:hyperlink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 xml:space="preserve">Leme, </w:t>
      </w:r>
      <w:r w:rsidR="00613C86">
        <w:rPr>
          <w:rFonts w:ascii="Arial" w:eastAsia="Calibri" w:hAnsi="Arial" w:cs="Arial"/>
          <w:sz w:val="20"/>
          <w:szCs w:val="20"/>
        </w:rPr>
        <w:t>30 de abril de 2019.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 xml:space="preserve">____________________________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</w:t>
      </w:r>
      <w:r w:rsidRPr="00D40889">
        <w:rPr>
          <w:rFonts w:ascii="Arial" w:eastAsia="Calibri" w:hAnsi="Arial" w:cs="Arial"/>
          <w:sz w:val="20"/>
          <w:szCs w:val="20"/>
        </w:rPr>
        <w:t xml:space="preserve">  ________________________</w:t>
      </w:r>
    </w:p>
    <w:p w:rsidR="00284664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D40889">
        <w:rPr>
          <w:rFonts w:ascii="Arial" w:eastAsia="Calibri" w:hAnsi="Arial" w:cs="Arial"/>
          <w:sz w:val="20"/>
          <w:szCs w:val="20"/>
        </w:rPr>
        <w:t>Claércio</w:t>
      </w:r>
      <w:proofErr w:type="spellEnd"/>
      <w:r w:rsidRPr="00D40889">
        <w:rPr>
          <w:rFonts w:ascii="Arial" w:eastAsia="Calibri" w:hAnsi="Arial" w:cs="Arial"/>
          <w:sz w:val="20"/>
          <w:szCs w:val="20"/>
        </w:rPr>
        <w:t xml:space="preserve"> Fernando Mercadante   </w:t>
      </w:r>
      <w:r w:rsidRPr="00D40889">
        <w:rPr>
          <w:rFonts w:ascii="Arial" w:eastAsia="Calibri" w:hAnsi="Arial" w:cs="Arial"/>
          <w:sz w:val="20"/>
          <w:szCs w:val="20"/>
        </w:rPr>
        <w:tab/>
        <w:t xml:space="preserve">             </w:t>
      </w:r>
      <w:r>
        <w:rPr>
          <w:rFonts w:ascii="Arial" w:eastAsia="Calibri" w:hAnsi="Arial" w:cs="Arial"/>
          <w:sz w:val="20"/>
          <w:szCs w:val="20"/>
        </w:rPr>
        <w:t xml:space="preserve">       </w:t>
      </w:r>
      <w:r>
        <w:rPr>
          <w:rFonts w:ascii="Arial" w:eastAsia="Calibri" w:hAnsi="Arial" w:cs="Arial"/>
          <w:sz w:val="20"/>
          <w:szCs w:val="20"/>
        </w:rPr>
        <w:tab/>
        <w:t xml:space="preserve">             </w:t>
      </w:r>
      <w:r w:rsidR="00284664">
        <w:rPr>
          <w:rFonts w:ascii="Arial" w:eastAsia="Calibri" w:hAnsi="Arial" w:cs="Arial"/>
          <w:sz w:val="20"/>
          <w:szCs w:val="20"/>
        </w:rPr>
        <w:t xml:space="preserve">   </w:t>
      </w:r>
      <w:r w:rsidRPr="00D40889">
        <w:rPr>
          <w:rFonts w:ascii="Arial" w:eastAsia="Calibri" w:hAnsi="Arial" w:cs="Arial"/>
          <w:sz w:val="20"/>
          <w:szCs w:val="20"/>
        </w:rPr>
        <w:t xml:space="preserve">  Edson L. </w:t>
      </w:r>
      <w:proofErr w:type="spellStart"/>
      <w:r w:rsidRPr="00D40889">
        <w:rPr>
          <w:rFonts w:ascii="Arial" w:eastAsia="Calibri" w:hAnsi="Arial" w:cs="Arial"/>
          <w:sz w:val="20"/>
          <w:szCs w:val="20"/>
        </w:rPr>
        <w:t>Pacagnella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 xml:space="preserve">Chefe Divisão Técnica de Tratamento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</w:t>
      </w:r>
      <w:r w:rsidR="00284664">
        <w:rPr>
          <w:rFonts w:ascii="Arial" w:eastAsia="Calibri" w:hAnsi="Arial" w:cs="Arial"/>
          <w:sz w:val="20"/>
          <w:szCs w:val="20"/>
        </w:rPr>
        <w:t xml:space="preserve">    </w:t>
      </w:r>
      <w:r w:rsidRPr="00D40889">
        <w:rPr>
          <w:rFonts w:ascii="Arial" w:eastAsia="Calibri" w:hAnsi="Arial" w:cs="Arial"/>
          <w:sz w:val="20"/>
          <w:szCs w:val="20"/>
        </w:rPr>
        <w:t xml:space="preserve">           Químico - ETA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 xml:space="preserve">    </w:t>
      </w:r>
      <w:proofErr w:type="gramStart"/>
      <w:r w:rsidRPr="00D40889">
        <w:rPr>
          <w:rFonts w:ascii="Arial" w:eastAsia="Calibri" w:hAnsi="Arial" w:cs="Arial"/>
          <w:sz w:val="20"/>
          <w:szCs w:val="20"/>
        </w:rPr>
        <w:t>e</w:t>
      </w:r>
      <w:proofErr w:type="gramEnd"/>
      <w:r w:rsidRPr="00D40889">
        <w:rPr>
          <w:rFonts w:ascii="Arial" w:eastAsia="Calibri" w:hAnsi="Arial" w:cs="Arial"/>
          <w:sz w:val="20"/>
          <w:szCs w:val="20"/>
        </w:rPr>
        <w:t xml:space="preserve"> Armazenamento de Água                                    </w:t>
      </w:r>
      <w:r w:rsidR="00284664">
        <w:rPr>
          <w:rFonts w:ascii="Arial" w:eastAsia="Calibri" w:hAnsi="Arial" w:cs="Arial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D40889">
        <w:rPr>
          <w:rFonts w:ascii="Arial" w:eastAsia="Calibri" w:hAnsi="Arial" w:cs="Arial"/>
          <w:sz w:val="20"/>
          <w:szCs w:val="20"/>
        </w:rPr>
        <w:t xml:space="preserve">  CRQ – IV nº 04141103</w:t>
      </w:r>
    </w:p>
    <w:p w:rsidR="004E2E0E" w:rsidRPr="00D40889" w:rsidRDefault="004E2E0E" w:rsidP="004E2E0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0889">
        <w:rPr>
          <w:rFonts w:ascii="Arial" w:eastAsia="Times New Roman" w:hAnsi="Arial" w:cs="Arial"/>
          <w:color w:val="000000"/>
          <w:sz w:val="20"/>
          <w:szCs w:val="20"/>
        </w:rPr>
        <w:t xml:space="preserve">Marcos Roberto </w:t>
      </w:r>
      <w:proofErr w:type="spellStart"/>
      <w:r w:rsidRPr="00D40889">
        <w:rPr>
          <w:rFonts w:ascii="Arial" w:eastAsia="Times New Roman" w:hAnsi="Arial" w:cs="Arial"/>
          <w:color w:val="000000"/>
          <w:sz w:val="20"/>
          <w:szCs w:val="20"/>
        </w:rPr>
        <w:t>Bonfogo</w:t>
      </w:r>
      <w:proofErr w:type="spellEnd"/>
    </w:p>
    <w:p w:rsidR="004E2E0E" w:rsidRPr="00D40889" w:rsidRDefault="004E2E0E" w:rsidP="004E2E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color w:val="000000"/>
          <w:sz w:val="20"/>
          <w:szCs w:val="20"/>
        </w:rPr>
        <w:t>Diretor – Presidente</w:t>
      </w:r>
    </w:p>
    <w:p w:rsidR="003B724E" w:rsidRDefault="003B724E"/>
    <w:sectPr w:rsidR="003B724E" w:rsidSect="004E2E0E">
      <w:footerReference w:type="default" r:id="rId11"/>
      <w:pgSz w:w="11906" w:h="16838"/>
      <w:pgMar w:top="1417" w:right="1701" w:bottom="1417" w:left="1701" w:header="70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82" w:rsidRDefault="00BA4882" w:rsidP="004E2E0E">
      <w:pPr>
        <w:spacing w:after="0" w:line="240" w:lineRule="auto"/>
      </w:pPr>
      <w:r>
        <w:separator/>
      </w:r>
    </w:p>
  </w:endnote>
  <w:endnote w:type="continuationSeparator" w:id="0">
    <w:p w:rsidR="00BA4882" w:rsidRDefault="00BA4882" w:rsidP="004E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191424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057579"/>
          <w:docPartObj>
            <w:docPartGallery w:val="Page Numbers (Top of Page)"/>
            <w:docPartUnique/>
          </w:docPartObj>
        </w:sdtPr>
        <w:sdtEndPr/>
        <w:sdtContent>
          <w:p w:rsidR="004E2E0E" w:rsidRPr="004E2E0E" w:rsidRDefault="004E2E0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2E0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46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2E0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46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E2E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E2E0E" w:rsidRDefault="004E2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82" w:rsidRDefault="00BA4882" w:rsidP="004E2E0E">
      <w:pPr>
        <w:spacing w:after="0" w:line="240" w:lineRule="auto"/>
      </w:pPr>
      <w:r>
        <w:separator/>
      </w:r>
    </w:p>
  </w:footnote>
  <w:footnote w:type="continuationSeparator" w:id="0">
    <w:p w:rsidR="00BA4882" w:rsidRDefault="00BA4882" w:rsidP="004E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0E"/>
    <w:rsid w:val="00284664"/>
    <w:rsid w:val="003B092A"/>
    <w:rsid w:val="003B724E"/>
    <w:rsid w:val="00455BBB"/>
    <w:rsid w:val="004E2E0E"/>
    <w:rsid w:val="004E6CDE"/>
    <w:rsid w:val="00613C86"/>
    <w:rsid w:val="0075648D"/>
    <w:rsid w:val="00AE0E87"/>
    <w:rsid w:val="00BA4882"/>
    <w:rsid w:val="00E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9C3D"/>
  <w15:chartTrackingRefBased/>
  <w15:docId w15:val="{79019220-6497-4A7B-9EA5-EB8F272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E0E"/>
  </w:style>
  <w:style w:type="paragraph" w:styleId="Rodap">
    <w:name w:val="footer"/>
    <w:basedOn w:val="Normal"/>
    <w:link w:val="RodapChar"/>
    <w:uiPriority w:val="99"/>
    <w:unhideWhenUsed/>
    <w:rsid w:val="004E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E0E"/>
  </w:style>
  <w:style w:type="character" w:styleId="Hyperlink">
    <w:name w:val="Hyperlink"/>
    <w:basedOn w:val="Fontepargpadro"/>
    <w:uiPriority w:val="99"/>
    <w:unhideWhenUsed/>
    <w:rsid w:val="003B092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s-dn.org.br/ctqpq/desinfetantes-oxidant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bes-dn.org.br/ctqpq/coagulantes-floculante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ofogo@saecil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bes-dn.org.br/ctqpq/outros-produto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es-dn.org.br/ctqpq/ajusteph-sequestrantes-desincrustante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cp:lastPrinted>2019-04-29T16:59:00Z</cp:lastPrinted>
  <dcterms:created xsi:type="dcterms:W3CDTF">2019-04-25T13:58:00Z</dcterms:created>
  <dcterms:modified xsi:type="dcterms:W3CDTF">2019-05-02T13:19:00Z</dcterms:modified>
</cp:coreProperties>
</file>